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Umlegung von Ver- und Entsorgungsleitungen auf dem Grundstück der IGS Kastellaun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Titel 1: Allgemeine Bau- und Hilfsleistungen
ca. 9.600 mMt Bauzaunvorhaltung 
sowie Baustelleneinrichtungs-, Verkehrssicherungs-, Kontrollprüfungs- und Stundenlohnarbeiten
Titel 2: Kanalbau 
ca. 815 m3 Rohrgrabenaushub / Grabenrückverfüllung
ca. 80 m Schmutzwasserkanal PVC-U DN/OD 160 bis DN/OD 250
ca. 110 m Regenwasserkanal PVC-U DN/OD 315 bis DN/OD 400
ca. 6 St Schachtbauwerke (DN 1.000)
einschl. Anschluss-, Prüf-, Inspektions-, Rückbau- und Oberflächenwiederherstellungsarbeiten
Titel 3: Erdarbeiten Versorgungsleitungen
ca. 350 m3 Rohrgrabenaushub / Grabenrückverfüllung für Fernwärmeleitung
ca. 50 m3 Rohrgrabenaushub / Grabenrückverfüllung für Stromleitung
einschl. Warnbändern, Leitungsquerungen, Suchgräben und Oberflächenwiederherstellung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